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83B" w:rsidRPr="00D22BB4" w:rsidRDefault="0000483B" w:rsidP="0000483B">
      <w:pPr>
        <w:spacing w:after="105" w:line="249" w:lineRule="auto"/>
        <w:ind w:left="2616" w:right="810" w:hanging="2210"/>
        <w:jc w:val="center"/>
        <w:rPr>
          <w:rFonts w:ascii="Trebuchet MS" w:eastAsia="Trebuchet MS" w:hAnsi="Trebuchet MS" w:cstheme="minorHAnsi"/>
          <w:b/>
        </w:rPr>
      </w:pPr>
      <w:r w:rsidRPr="00D22BB4">
        <w:rPr>
          <w:rFonts w:ascii="Trebuchet MS" w:eastAsia="Trebuchet MS" w:hAnsi="Trebuchet MS" w:cstheme="minorHAnsi"/>
          <w:b/>
        </w:rPr>
        <w:t>Annexure V</w:t>
      </w:r>
      <w:bookmarkStart w:id="0" w:name="_GoBack"/>
      <w:bookmarkEnd w:id="0"/>
    </w:p>
    <w:p w:rsidR="0000483B" w:rsidRPr="00D22BB4" w:rsidRDefault="0000483B" w:rsidP="0000483B">
      <w:pPr>
        <w:spacing w:after="0" w:line="249" w:lineRule="auto"/>
        <w:ind w:left="180" w:right="297"/>
        <w:jc w:val="center"/>
        <w:rPr>
          <w:rFonts w:ascii="Trebuchet MS" w:eastAsia="Trebuchet MS" w:hAnsi="Trebuchet MS" w:cstheme="minorHAnsi"/>
          <w:b/>
        </w:rPr>
      </w:pPr>
      <w:r w:rsidRPr="00D22BB4">
        <w:rPr>
          <w:rFonts w:ascii="Trebuchet MS" w:eastAsia="Trebuchet MS" w:hAnsi="Trebuchet MS" w:cstheme="minorHAnsi"/>
          <w:b/>
        </w:rPr>
        <w:t>Code of Conduct</w:t>
      </w:r>
    </w:p>
    <w:p w:rsidR="0000483B" w:rsidRPr="00D22BB4" w:rsidRDefault="0000483B" w:rsidP="0000483B">
      <w:pPr>
        <w:spacing w:after="0" w:line="249" w:lineRule="auto"/>
        <w:ind w:left="180" w:right="-187"/>
        <w:jc w:val="center"/>
        <w:rPr>
          <w:rFonts w:ascii="Trebuchet MS" w:hAnsi="Trebuchet MS" w:cstheme="minorHAnsi"/>
        </w:rPr>
      </w:pPr>
      <w:r w:rsidRPr="00D22BB4">
        <w:rPr>
          <w:rFonts w:ascii="Trebuchet MS" w:eastAsia="Trebuchet MS" w:hAnsi="Trebuchet MS" w:cstheme="minorHAnsi"/>
        </w:rPr>
        <w:t>(To be executed by Empanelled for ASM on Non-Judicial Stamp Paper)</w:t>
      </w:r>
    </w:p>
    <w:p w:rsidR="0000483B" w:rsidRPr="00D22BB4" w:rsidRDefault="0000483B" w:rsidP="0000483B">
      <w:pPr>
        <w:spacing w:after="0" w:line="248" w:lineRule="auto"/>
        <w:ind w:left="86" w:right="-187" w:hanging="10"/>
        <w:rPr>
          <w:rFonts w:ascii="Trebuchet MS" w:hAnsi="Trebuchet MS" w:cstheme="minorHAnsi"/>
        </w:rPr>
      </w:pPr>
      <w:r w:rsidRPr="00D22BB4">
        <w:rPr>
          <w:rFonts w:ascii="Trebuchet MS" w:eastAsia="Trebuchet MS" w:hAnsi="Trebuchet MS" w:cstheme="minorHAnsi"/>
        </w:rPr>
        <w:t xml:space="preserve">I/ We hereby undertake to strictly adhere to the following Code of Conduct: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A. Integrity and Fairness  </w:t>
      </w:r>
    </w:p>
    <w:p w:rsidR="0000483B" w:rsidRPr="00D22BB4" w:rsidRDefault="0000483B" w:rsidP="0000483B">
      <w:pPr>
        <w:numPr>
          <w:ilvl w:val="0"/>
          <w:numId w:val="1"/>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in the conduct of his/its business, follow high standards of integrity and fairness in all his/its dealings with his/its clients.  </w:t>
      </w:r>
    </w:p>
    <w:p w:rsidR="0000483B" w:rsidRPr="00D22BB4" w:rsidRDefault="0000483B" w:rsidP="0000483B">
      <w:pPr>
        <w:numPr>
          <w:ilvl w:val="0"/>
          <w:numId w:val="1"/>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maintain integrity by being honest, straightforward, and forthright in all professional relationships.  </w:t>
      </w:r>
    </w:p>
    <w:p w:rsidR="0000483B" w:rsidRPr="00D22BB4" w:rsidRDefault="0000483B" w:rsidP="0000483B">
      <w:pPr>
        <w:numPr>
          <w:ilvl w:val="0"/>
          <w:numId w:val="1"/>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endeavour to ensure that he/she/it/they provides true and adequate information and shall not misrepresent any facts or situations.  </w:t>
      </w:r>
    </w:p>
    <w:p w:rsidR="0000483B" w:rsidRPr="00D22BB4" w:rsidRDefault="0000483B" w:rsidP="0000483B">
      <w:pPr>
        <w:numPr>
          <w:ilvl w:val="0"/>
          <w:numId w:val="1"/>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refrain from being involved in any action that would bring disrepute to the profession.  </w:t>
      </w:r>
    </w:p>
    <w:p w:rsidR="0000483B" w:rsidRPr="00D22BB4" w:rsidRDefault="0000483B" w:rsidP="0000483B">
      <w:pPr>
        <w:numPr>
          <w:ilvl w:val="0"/>
          <w:numId w:val="1"/>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keep public interest foremost while delivering his services.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B. Professional Competence and Due Care  </w:t>
      </w:r>
    </w:p>
    <w:p w:rsidR="0000483B" w:rsidRPr="00D22BB4" w:rsidRDefault="0000483B" w:rsidP="0000483B">
      <w:pPr>
        <w:numPr>
          <w:ilvl w:val="0"/>
          <w:numId w:val="2"/>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always render high standards of service, exercise due diligence, ensure proper care and exercise independent professional judgment.  </w:t>
      </w:r>
    </w:p>
    <w:p w:rsidR="0000483B" w:rsidRPr="00D22BB4" w:rsidRDefault="0000483B" w:rsidP="0000483B">
      <w:pPr>
        <w:numPr>
          <w:ilvl w:val="0"/>
          <w:numId w:val="2"/>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carry out professional services in accordance with the relevant technical and professional standards that may be specified from time to time.  </w:t>
      </w:r>
    </w:p>
    <w:p w:rsidR="0000483B" w:rsidRPr="00D22BB4" w:rsidRDefault="0000483B" w:rsidP="0000483B">
      <w:pPr>
        <w:numPr>
          <w:ilvl w:val="0"/>
          <w:numId w:val="2"/>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continuously maintain professional knowledge and skill to provide competent professional service based on up-to-date developments in practice, prevailing regulations/guidelines, and techniques.  </w:t>
      </w:r>
    </w:p>
    <w:p w:rsidR="0000483B" w:rsidRPr="00D22BB4" w:rsidRDefault="0000483B" w:rsidP="0000483B">
      <w:pPr>
        <w:numPr>
          <w:ilvl w:val="0"/>
          <w:numId w:val="2"/>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In the preparation of a ASM report, the ASM shall not disclaim liability for his/its expertise or deny his/its duty of care, except to the extent that the assumptions are based on statements of fact provided by the subject firm (i.e., whose ASM is undertaken) or its auditors or consultants or information available in public domain and not generated by the ASM.  </w:t>
      </w:r>
    </w:p>
    <w:p w:rsidR="0000483B" w:rsidRPr="00D22BB4" w:rsidRDefault="0000483B" w:rsidP="0000483B">
      <w:pPr>
        <w:numPr>
          <w:ilvl w:val="0"/>
          <w:numId w:val="2"/>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not carry out any instruction of the subject firm in so far as they are incompatible with the requirements of integrity, objectivity, &amp; independence.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C. Independence and Disclosure of Interest  </w:t>
      </w:r>
    </w:p>
    <w:p w:rsidR="0000483B" w:rsidRPr="00D22BB4" w:rsidRDefault="0000483B" w:rsidP="0000483B">
      <w:pPr>
        <w:numPr>
          <w:ilvl w:val="0"/>
          <w:numId w:val="3"/>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act with objectivity in his/its professional dealings by ensuring that his/its decisions are made without the presence of any bias, conflict of interest, coercion, or undue influence of any party, whether directly connected to the assignment or not.  </w:t>
      </w:r>
    </w:p>
    <w:p w:rsidR="0000483B" w:rsidRPr="00D22BB4" w:rsidRDefault="0000483B" w:rsidP="0000483B">
      <w:pPr>
        <w:numPr>
          <w:ilvl w:val="0"/>
          <w:numId w:val="3"/>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not take up an assignment, if he/it or any of his/its relatives or associates is not independent in terms of association to the subject client.  </w:t>
      </w:r>
    </w:p>
    <w:p w:rsidR="0000483B" w:rsidRPr="00D22BB4" w:rsidRDefault="0000483B" w:rsidP="0000483B">
      <w:pPr>
        <w:numPr>
          <w:ilvl w:val="0"/>
          <w:numId w:val="3"/>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maintain complete independence in his/its professional relationships and shall conduct the assigned work independent of external influences.  </w:t>
      </w:r>
    </w:p>
    <w:p w:rsidR="0000483B" w:rsidRPr="00D22BB4" w:rsidRDefault="0000483B" w:rsidP="0000483B">
      <w:pPr>
        <w:numPr>
          <w:ilvl w:val="0"/>
          <w:numId w:val="3"/>
        </w:numPr>
        <w:spacing w:after="0" w:line="248"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wherever necessary, disclose to the Bank, possible sources of conflicts of duties and interests, while providing unbiased services.  </w:t>
      </w:r>
    </w:p>
    <w:p w:rsidR="0000483B" w:rsidRPr="00D22BB4" w:rsidRDefault="0000483B" w:rsidP="0000483B">
      <w:pPr>
        <w:numPr>
          <w:ilvl w:val="0"/>
          <w:numId w:val="3"/>
        </w:numPr>
        <w:spacing w:after="0" w:line="237"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not indulge in “mandate snatching (to undertake assignments for ASM inspection of a particular site / unit using unscrupulous means)” or offering “Convenience Report” in order to cater to a client’s needs.  </w:t>
      </w:r>
    </w:p>
    <w:p w:rsidR="0000483B" w:rsidRPr="00D22BB4" w:rsidRDefault="0000483B" w:rsidP="0000483B">
      <w:pPr>
        <w:numPr>
          <w:ilvl w:val="0"/>
          <w:numId w:val="3"/>
        </w:numPr>
        <w:spacing w:after="0" w:line="237" w:lineRule="auto"/>
        <w:ind w:right="-187" w:hanging="360"/>
        <w:jc w:val="both"/>
        <w:rPr>
          <w:rFonts w:ascii="Trebuchet MS" w:hAnsi="Trebuchet MS" w:cstheme="minorHAnsi"/>
        </w:rPr>
      </w:pPr>
      <w:r w:rsidRPr="00D22BB4">
        <w:rPr>
          <w:rFonts w:ascii="Trebuchet MS" w:eastAsia="Trebuchet MS" w:hAnsi="Trebuchet MS" w:cstheme="minorHAnsi"/>
        </w:rPr>
        <w:t xml:space="preserve">As an independent entity, ASM shall not charge success fee (Success fees may be defined as a compensation / incentive paid to any third party for successful closure of transaction. In this case, favourable ASM report).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D. Confidentiality  </w:t>
      </w:r>
    </w:p>
    <w:p w:rsidR="0000483B" w:rsidRPr="00D22BB4" w:rsidRDefault="0000483B" w:rsidP="0000483B">
      <w:pPr>
        <w:numPr>
          <w:ilvl w:val="0"/>
          <w:numId w:val="3"/>
        </w:numPr>
        <w:spacing w:after="0" w:line="237" w:lineRule="auto"/>
        <w:ind w:right="-187" w:hanging="362"/>
        <w:jc w:val="both"/>
        <w:rPr>
          <w:rFonts w:ascii="Trebuchet MS" w:hAnsi="Trebuchet MS" w:cstheme="minorHAnsi"/>
        </w:rPr>
      </w:pPr>
      <w:r w:rsidRPr="00D22BB4">
        <w:rPr>
          <w:rFonts w:ascii="Trebuchet MS" w:eastAsia="Trebuchet MS" w:hAnsi="Trebuchet MS" w:cstheme="minorHAnsi"/>
        </w:rPr>
        <w:t xml:space="preserve">ASM shall not use or divulge to any other party any confidential information about the subject client for whom ASM </w:t>
      </w:r>
      <w:proofErr w:type="gramStart"/>
      <w:r w:rsidRPr="00D22BB4">
        <w:rPr>
          <w:rFonts w:ascii="Trebuchet MS" w:eastAsia="Trebuchet MS" w:hAnsi="Trebuchet MS" w:cstheme="minorHAnsi"/>
        </w:rPr>
        <w:t>is  conducted</w:t>
      </w:r>
      <w:proofErr w:type="gramEnd"/>
      <w:r w:rsidRPr="00D22BB4">
        <w:rPr>
          <w:rFonts w:ascii="Trebuchet MS" w:eastAsia="Trebuchet MS" w:hAnsi="Trebuchet MS" w:cstheme="minorHAnsi"/>
        </w:rPr>
        <w:t xml:space="preserve"> , which has come to his/its knowledge without proper and specific authority or unless there is a legal or professional right or duty to disclose.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E. Information Management  </w:t>
      </w:r>
    </w:p>
    <w:p w:rsidR="0000483B" w:rsidRPr="00D22BB4" w:rsidRDefault="0000483B" w:rsidP="0000483B">
      <w:pPr>
        <w:numPr>
          <w:ilvl w:val="0"/>
          <w:numId w:val="3"/>
        </w:numPr>
        <w:spacing w:after="0" w:line="237" w:lineRule="auto"/>
        <w:ind w:right="-187" w:hanging="362"/>
        <w:jc w:val="both"/>
        <w:rPr>
          <w:rFonts w:ascii="Trebuchet MS" w:hAnsi="Trebuchet MS" w:cstheme="minorHAnsi"/>
        </w:rPr>
      </w:pPr>
      <w:r w:rsidRPr="00D22BB4">
        <w:rPr>
          <w:rFonts w:ascii="Trebuchet MS" w:eastAsia="Trebuchet MS" w:hAnsi="Trebuchet MS" w:cstheme="minorHAnsi"/>
        </w:rPr>
        <w:lastRenderedPageBreak/>
        <w:t xml:space="preserve">ASM shall ensure that he/ it maintains written contemporaneous records for any decision taken, the reasons for taking the decision, and the information and evidence in support of such decision. This shall be maintained so as to sufficiently enable a reasonable person to take a view on the appropriateness of his/its decisions and actions.  </w:t>
      </w:r>
    </w:p>
    <w:p w:rsidR="0000483B" w:rsidRPr="00D22BB4" w:rsidRDefault="0000483B" w:rsidP="0000483B">
      <w:pPr>
        <w:numPr>
          <w:ilvl w:val="0"/>
          <w:numId w:val="3"/>
        </w:numPr>
        <w:spacing w:after="0" w:line="237"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appear, co-operate and will provide all information and records in case of any need or legal or statutory or professional requirement.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F. Gifts and Hospitality  </w:t>
      </w:r>
    </w:p>
    <w:p w:rsidR="0000483B" w:rsidRPr="00D22BB4" w:rsidRDefault="0000483B" w:rsidP="0000483B">
      <w:pPr>
        <w:numPr>
          <w:ilvl w:val="0"/>
          <w:numId w:val="3"/>
        </w:numPr>
        <w:spacing w:after="0" w:line="237" w:lineRule="auto"/>
        <w:ind w:right="-187" w:hanging="360"/>
        <w:jc w:val="both"/>
        <w:rPr>
          <w:rFonts w:ascii="Trebuchet MS" w:hAnsi="Trebuchet MS" w:cstheme="minorHAnsi"/>
        </w:rPr>
      </w:pPr>
      <w:r w:rsidRPr="00D22BB4">
        <w:rPr>
          <w:rFonts w:ascii="Trebuchet MS" w:eastAsia="Trebuchet MS" w:hAnsi="Trebuchet MS" w:cstheme="minorHAnsi"/>
        </w:rPr>
        <w:t xml:space="preserve">ASM or his/its relative shall not accept gifts or hospitality which undermines or affects his independence as </w:t>
      </w:r>
      <w:proofErr w:type="gramStart"/>
      <w:r w:rsidRPr="00D22BB4">
        <w:rPr>
          <w:rFonts w:ascii="Trebuchet MS" w:eastAsia="Trebuchet MS" w:hAnsi="Trebuchet MS" w:cstheme="minorHAnsi"/>
        </w:rPr>
        <w:t>a</w:t>
      </w:r>
      <w:proofErr w:type="gramEnd"/>
      <w:r w:rsidRPr="00D22BB4">
        <w:rPr>
          <w:rFonts w:ascii="Trebuchet MS" w:eastAsia="Trebuchet MS" w:hAnsi="Trebuchet MS" w:cstheme="minorHAnsi"/>
        </w:rPr>
        <w:t xml:space="preserve"> ASM.  </w:t>
      </w:r>
    </w:p>
    <w:p w:rsidR="0000483B" w:rsidRPr="00D22BB4" w:rsidRDefault="0000483B" w:rsidP="0000483B">
      <w:pPr>
        <w:spacing w:after="0" w:line="237" w:lineRule="auto"/>
        <w:ind w:left="567" w:right="-187"/>
        <w:rPr>
          <w:rFonts w:ascii="Trebuchet MS" w:hAnsi="Trebuchet MS" w:cstheme="minorHAnsi"/>
        </w:rPr>
      </w:pPr>
      <w:r w:rsidRPr="00D22BB4">
        <w:rPr>
          <w:rFonts w:ascii="Trebuchet MS" w:eastAsia="Trebuchet MS" w:hAnsi="Trebuchet MS" w:cstheme="minorHAnsi"/>
          <w:b/>
        </w:rPr>
        <w:t>Explanation:</w:t>
      </w:r>
      <w:r w:rsidRPr="00D22BB4">
        <w:rPr>
          <w:rFonts w:ascii="Trebuchet MS" w:eastAsia="Trebuchet MS" w:hAnsi="Trebuchet MS" w:cstheme="minorHAnsi"/>
        </w:rPr>
        <w:t xml:space="preserve"> For the purposes of this code the term ‘relative’ shall have the same meaning as defined in clause (77) of Section 2 of the Companies Act, 2013 (18 of 2013). </w:t>
      </w:r>
    </w:p>
    <w:p w:rsidR="0000483B" w:rsidRPr="00D22BB4" w:rsidRDefault="0000483B" w:rsidP="0000483B">
      <w:pPr>
        <w:numPr>
          <w:ilvl w:val="0"/>
          <w:numId w:val="3"/>
        </w:numPr>
        <w:spacing w:after="0" w:line="237"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not offer gifts or hospitality or a financial or any other advantage to a public servant or any other person with a view to obtain or retain work for himself/ itself, or to obtain or retain an advantage in the conduct of profession for himself/ itself.  </w:t>
      </w:r>
    </w:p>
    <w:p w:rsidR="0000483B" w:rsidRPr="00D22BB4" w:rsidRDefault="0000483B" w:rsidP="0000483B">
      <w:pPr>
        <w:spacing w:after="0"/>
        <w:rPr>
          <w:rFonts w:ascii="Trebuchet MS" w:eastAsia="Trebuchet MS" w:hAnsi="Trebuchet MS" w:cstheme="minorHAnsi"/>
          <w:b/>
          <w:u w:val="single"/>
        </w:rPr>
      </w:pPr>
      <w:r w:rsidRPr="00D22BB4">
        <w:rPr>
          <w:rFonts w:ascii="Trebuchet MS" w:eastAsia="Trebuchet MS" w:hAnsi="Trebuchet MS" w:cstheme="minorHAnsi"/>
          <w:b/>
          <w:u w:val="single"/>
        </w:rPr>
        <w:t xml:space="preserve">G. Remuneration and Costs  </w:t>
      </w:r>
    </w:p>
    <w:p w:rsidR="0000483B" w:rsidRPr="00D22BB4" w:rsidRDefault="0000483B" w:rsidP="0000483B">
      <w:pPr>
        <w:numPr>
          <w:ilvl w:val="0"/>
          <w:numId w:val="3"/>
        </w:numPr>
        <w:spacing w:after="0" w:line="237" w:lineRule="auto"/>
        <w:ind w:right="-187" w:hanging="360"/>
        <w:jc w:val="both"/>
        <w:rPr>
          <w:rFonts w:ascii="Trebuchet MS" w:hAnsi="Trebuchet MS" w:cstheme="minorHAnsi"/>
        </w:rPr>
      </w:pPr>
      <w:r w:rsidRPr="00D22BB4">
        <w:rPr>
          <w:rFonts w:ascii="Trebuchet MS" w:eastAsia="Trebuchet MS" w:hAnsi="Trebuchet MS" w:cstheme="minorHAnsi"/>
        </w:rPr>
        <w:t xml:space="preserve">ASM shall provide services for remuneration which is charged in a transparent manner, is a reasonable reflection of the work necessarily and properly undertaken, and is not inconsistent with the applicable rules.  </w:t>
      </w:r>
    </w:p>
    <w:p w:rsidR="0000483B" w:rsidRPr="00D22BB4" w:rsidRDefault="0000483B" w:rsidP="0000483B">
      <w:pPr>
        <w:numPr>
          <w:ilvl w:val="0"/>
          <w:numId w:val="3"/>
        </w:numPr>
        <w:spacing w:after="0" w:line="248" w:lineRule="auto"/>
        <w:ind w:left="10" w:right="-187" w:hanging="10"/>
        <w:jc w:val="both"/>
        <w:rPr>
          <w:rFonts w:ascii="Trebuchet MS" w:hAnsi="Trebuchet MS" w:cstheme="minorHAnsi"/>
        </w:rPr>
      </w:pPr>
      <w:r w:rsidRPr="00D22BB4">
        <w:rPr>
          <w:rFonts w:ascii="Trebuchet MS" w:eastAsia="Trebuchet MS" w:hAnsi="Trebuchet MS" w:cstheme="minorHAnsi"/>
        </w:rPr>
        <w:t xml:space="preserve">ASM shall not accept any fees or charges other than those which are disclosed in a written contract with the person to whom he would be rendering service.  </w:t>
      </w:r>
    </w:p>
    <w:p w:rsidR="0000483B" w:rsidRPr="00D22BB4" w:rsidRDefault="0000483B" w:rsidP="0000483B">
      <w:pPr>
        <w:numPr>
          <w:ilvl w:val="0"/>
          <w:numId w:val="3"/>
        </w:numPr>
        <w:spacing w:after="0" w:line="248" w:lineRule="auto"/>
        <w:ind w:left="10" w:right="-187" w:hanging="10"/>
        <w:jc w:val="both"/>
        <w:rPr>
          <w:rFonts w:ascii="Trebuchet MS" w:hAnsi="Trebuchet MS" w:cstheme="minorHAnsi"/>
        </w:rPr>
      </w:pPr>
      <w:r w:rsidRPr="00D22BB4">
        <w:rPr>
          <w:rFonts w:ascii="Trebuchet MS" w:eastAsia="Trebuchet MS" w:hAnsi="Trebuchet MS" w:cstheme="minorHAnsi"/>
        </w:rPr>
        <w:t xml:space="preserve">ASM shall not conduct business which discredits the profession.   </w:t>
      </w:r>
      <w:r w:rsidRPr="00D22BB4">
        <w:rPr>
          <w:rFonts w:ascii="Trebuchet MS" w:eastAsia="Trebuchet MS" w:hAnsi="Trebuchet MS" w:cstheme="minorHAnsi"/>
        </w:rPr>
        <w:tab/>
        <w:t xml:space="preserve"> </w:t>
      </w:r>
      <w:r w:rsidRPr="00D22BB4">
        <w:rPr>
          <w:rFonts w:ascii="Trebuchet MS" w:eastAsia="Trebuchet MS" w:hAnsi="Trebuchet MS" w:cstheme="minorHAnsi"/>
        </w:rPr>
        <w:tab/>
        <w:t xml:space="preserve">                                                                                                               </w:t>
      </w:r>
    </w:p>
    <w:p w:rsidR="0000483B" w:rsidRPr="00D22BB4" w:rsidRDefault="0000483B" w:rsidP="0000483B">
      <w:pPr>
        <w:spacing w:after="0" w:line="248" w:lineRule="auto"/>
        <w:ind w:left="10" w:right="-187"/>
        <w:jc w:val="right"/>
        <w:rPr>
          <w:rFonts w:ascii="Trebuchet MS" w:hAnsi="Trebuchet MS" w:cstheme="minorHAnsi"/>
        </w:rPr>
      </w:pPr>
      <w:r w:rsidRPr="00D22BB4">
        <w:rPr>
          <w:rFonts w:ascii="Trebuchet MS" w:eastAsia="Trebuchet MS" w:hAnsi="Trebuchet MS" w:cstheme="minorHAnsi"/>
        </w:rPr>
        <w:t xml:space="preserve">Signature </w:t>
      </w:r>
    </w:p>
    <w:p w:rsidR="0000483B" w:rsidRPr="00D22BB4" w:rsidRDefault="0000483B" w:rsidP="0000483B">
      <w:pPr>
        <w:tabs>
          <w:tab w:val="left" w:pos="9720"/>
        </w:tabs>
        <w:spacing w:after="0" w:line="249" w:lineRule="auto"/>
        <w:ind w:left="-5" w:right="-187" w:hanging="10"/>
        <w:jc w:val="center"/>
        <w:rPr>
          <w:rFonts w:ascii="Trebuchet MS" w:hAnsi="Trebuchet MS" w:cstheme="minorHAnsi"/>
        </w:rPr>
      </w:pPr>
      <w:r w:rsidRPr="00D22BB4">
        <w:rPr>
          <w:rFonts w:ascii="Trebuchet MS" w:eastAsia="Trebuchet MS" w:hAnsi="Trebuchet MS" w:cstheme="minorHAnsi"/>
        </w:rPr>
        <w:t xml:space="preserve">                                                                             </w:t>
      </w:r>
      <w:r w:rsidRPr="00D22BB4">
        <w:rPr>
          <w:rFonts w:ascii="Trebuchet MS" w:eastAsia="Trebuchet MS" w:hAnsi="Trebuchet MS" w:cstheme="minorHAnsi"/>
          <w:b/>
        </w:rPr>
        <w:t xml:space="preserve">(Name of ASM) </w:t>
      </w:r>
    </w:p>
    <w:p w:rsidR="0000483B" w:rsidRPr="00D22BB4" w:rsidRDefault="0000483B" w:rsidP="0000483B">
      <w:pPr>
        <w:tabs>
          <w:tab w:val="left" w:pos="9720"/>
        </w:tabs>
        <w:spacing w:after="0" w:line="248" w:lineRule="auto"/>
        <w:ind w:right="-187"/>
        <w:rPr>
          <w:rFonts w:ascii="Trebuchet MS" w:hAnsi="Trebuchet MS"/>
        </w:rPr>
      </w:pPr>
      <w:r w:rsidRPr="00D22BB4">
        <w:rPr>
          <w:rFonts w:ascii="Trebuchet MS" w:eastAsia="Trebuchet MS" w:hAnsi="Trebuchet MS" w:cs="Trebuchet MS"/>
        </w:rPr>
        <w:t xml:space="preserve">Date: </w:t>
      </w:r>
    </w:p>
    <w:p w:rsidR="0000483B" w:rsidRPr="00D22BB4" w:rsidRDefault="0000483B" w:rsidP="0000483B">
      <w:pPr>
        <w:tabs>
          <w:tab w:val="left" w:pos="9720"/>
        </w:tabs>
        <w:spacing w:after="0" w:line="248" w:lineRule="auto"/>
        <w:ind w:right="-187"/>
        <w:rPr>
          <w:rFonts w:ascii="Trebuchet MS" w:eastAsia="Trebuchet MS" w:hAnsi="Trebuchet MS" w:cs="Trebuchet MS"/>
        </w:rPr>
      </w:pPr>
      <w:r w:rsidRPr="00D22BB4">
        <w:rPr>
          <w:rFonts w:ascii="Trebuchet MS" w:eastAsia="Trebuchet MS" w:hAnsi="Trebuchet MS" w:cs="Trebuchet MS"/>
        </w:rPr>
        <w:t xml:space="preserve">Place: </w:t>
      </w:r>
    </w:p>
    <w:p w:rsidR="0000483B" w:rsidRPr="00D22BB4" w:rsidRDefault="0000483B" w:rsidP="0000483B">
      <w:pPr>
        <w:tabs>
          <w:tab w:val="left" w:pos="9720"/>
        </w:tabs>
        <w:spacing w:after="0" w:line="248" w:lineRule="auto"/>
        <w:ind w:right="-187"/>
        <w:jc w:val="center"/>
        <w:rPr>
          <w:rFonts w:ascii="Trebuchet MS" w:eastAsia="Trebuchet MS" w:hAnsi="Trebuchet MS" w:cs="Trebuchet MS"/>
        </w:rPr>
      </w:pPr>
      <w:r w:rsidRPr="00D22BB4">
        <w:rPr>
          <w:rFonts w:ascii="Trebuchet MS" w:eastAsia="Trebuchet MS" w:hAnsi="Trebuchet MS" w:cs="Trebuchet MS"/>
        </w:rPr>
        <w:t>*******************</w:t>
      </w:r>
    </w:p>
    <w:p w:rsidR="0000483B" w:rsidRPr="00D22BB4" w:rsidRDefault="0000483B" w:rsidP="0000483B">
      <w:pPr>
        <w:tabs>
          <w:tab w:val="left" w:pos="9720"/>
        </w:tabs>
        <w:spacing w:after="87" w:line="248" w:lineRule="auto"/>
        <w:ind w:right="-187"/>
        <w:rPr>
          <w:rFonts w:ascii="Trebuchet MS" w:eastAsia="Trebuchet MS" w:hAnsi="Trebuchet MS" w:cs="Trebuchet MS"/>
        </w:rPr>
      </w:pPr>
    </w:p>
    <w:p w:rsidR="0000483B" w:rsidRDefault="0000483B" w:rsidP="0000483B">
      <w:pPr>
        <w:tabs>
          <w:tab w:val="left" w:pos="9720"/>
        </w:tabs>
        <w:spacing w:after="87" w:line="248" w:lineRule="auto"/>
        <w:ind w:right="-187"/>
        <w:jc w:val="center"/>
        <w:rPr>
          <w:rFonts w:ascii="Trebuchet MS" w:hAnsi="Trebuchet MS"/>
          <w:b/>
        </w:rPr>
      </w:pPr>
    </w:p>
    <w:p w:rsidR="00D7437E" w:rsidRDefault="00D7437E"/>
    <w:sectPr w:rsidR="00D743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Interstate-Regular">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F232AE"/>
    <w:multiLevelType w:val="hybridMultilevel"/>
    <w:tmpl w:val="D15EB0CC"/>
    <w:lvl w:ilvl="0" w:tplc="155CE0BC">
      <w:start w:val="1"/>
      <w:numFmt w:val="decimal"/>
      <w:lvlText w:val="%1)"/>
      <w:lvlJc w:val="left"/>
      <w:pPr>
        <w:ind w:left="504"/>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1" w:tplc="22627918">
      <w:start w:val="1"/>
      <w:numFmt w:val="lowerLetter"/>
      <w:lvlText w:val="%2"/>
      <w:lvlJc w:val="left"/>
      <w:pPr>
        <w:ind w:left="108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F3407E8A">
      <w:start w:val="1"/>
      <w:numFmt w:val="lowerRoman"/>
      <w:lvlText w:val="%3"/>
      <w:lvlJc w:val="left"/>
      <w:pPr>
        <w:ind w:left="180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1062CF8C">
      <w:start w:val="1"/>
      <w:numFmt w:val="decimal"/>
      <w:lvlText w:val="%4"/>
      <w:lvlJc w:val="left"/>
      <w:pPr>
        <w:ind w:left="252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A8706EBA">
      <w:start w:val="1"/>
      <w:numFmt w:val="lowerLetter"/>
      <w:lvlText w:val="%5"/>
      <w:lvlJc w:val="left"/>
      <w:pPr>
        <w:ind w:left="324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52B0ACA4">
      <w:start w:val="1"/>
      <w:numFmt w:val="lowerRoman"/>
      <w:lvlText w:val="%6"/>
      <w:lvlJc w:val="left"/>
      <w:pPr>
        <w:ind w:left="396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ACA4A874">
      <w:start w:val="1"/>
      <w:numFmt w:val="decimal"/>
      <w:lvlText w:val="%7"/>
      <w:lvlJc w:val="left"/>
      <w:pPr>
        <w:ind w:left="468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ECD8B0E8">
      <w:start w:val="1"/>
      <w:numFmt w:val="lowerLetter"/>
      <w:lvlText w:val="%8"/>
      <w:lvlJc w:val="left"/>
      <w:pPr>
        <w:ind w:left="540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4F0033FC">
      <w:start w:val="1"/>
      <w:numFmt w:val="lowerRoman"/>
      <w:lvlText w:val="%9"/>
      <w:lvlJc w:val="left"/>
      <w:pPr>
        <w:ind w:left="612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05609BB"/>
    <w:multiLevelType w:val="hybridMultilevel"/>
    <w:tmpl w:val="0F3E12D0"/>
    <w:lvl w:ilvl="0" w:tplc="2E10A410">
      <w:start w:val="6"/>
      <w:numFmt w:val="decimal"/>
      <w:lvlText w:val="%1)"/>
      <w:lvlJc w:val="left"/>
      <w:pPr>
        <w:ind w:left="504"/>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1" w:tplc="6BCC0AF0">
      <w:start w:val="1"/>
      <w:numFmt w:val="lowerLetter"/>
      <w:lvlText w:val="%2"/>
      <w:lvlJc w:val="left"/>
      <w:pPr>
        <w:ind w:left="108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FE7C9EC0">
      <w:start w:val="1"/>
      <w:numFmt w:val="lowerRoman"/>
      <w:lvlText w:val="%3"/>
      <w:lvlJc w:val="left"/>
      <w:pPr>
        <w:ind w:left="180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D04C6A02">
      <w:start w:val="1"/>
      <w:numFmt w:val="decimal"/>
      <w:lvlText w:val="%4"/>
      <w:lvlJc w:val="left"/>
      <w:pPr>
        <w:ind w:left="252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664E22BE">
      <w:start w:val="1"/>
      <w:numFmt w:val="lowerLetter"/>
      <w:lvlText w:val="%5"/>
      <w:lvlJc w:val="left"/>
      <w:pPr>
        <w:ind w:left="324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3570676E">
      <w:start w:val="1"/>
      <w:numFmt w:val="lowerRoman"/>
      <w:lvlText w:val="%6"/>
      <w:lvlJc w:val="left"/>
      <w:pPr>
        <w:ind w:left="396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603C62A6">
      <w:start w:val="1"/>
      <w:numFmt w:val="decimal"/>
      <w:lvlText w:val="%7"/>
      <w:lvlJc w:val="left"/>
      <w:pPr>
        <w:ind w:left="468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D5801B92">
      <w:start w:val="1"/>
      <w:numFmt w:val="lowerLetter"/>
      <w:lvlText w:val="%8"/>
      <w:lvlJc w:val="left"/>
      <w:pPr>
        <w:ind w:left="540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F1E21D92">
      <w:start w:val="1"/>
      <w:numFmt w:val="lowerRoman"/>
      <w:lvlText w:val="%9"/>
      <w:lvlJc w:val="left"/>
      <w:pPr>
        <w:ind w:left="612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25D3ADB"/>
    <w:multiLevelType w:val="hybridMultilevel"/>
    <w:tmpl w:val="AE021318"/>
    <w:lvl w:ilvl="0" w:tplc="EC529130">
      <w:start w:val="11"/>
      <w:numFmt w:val="decimal"/>
      <w:lvlText w:val="%1)"/>
      <w:lvlJc w:val="left"/>
      <w:pPr>
        <w:ind w:left="504"/>
      </w:pPr>
      <w:rPr>
        <w:rFonts w:ascii="Interstate-Regular" w:eastAsia="Trebuchet MS" w:hAnsi="Interstate-Regular" w:cs="Trebuchet MS" w:hint="default"/>
        <w:b/>
        <w:bCs/>
        <w:i w:val="0"/>
        <w:strike w:val="0"/>
        <w:dstrike w:val="0"/>
        <w:color w:val="000000"/>
        <w:sz w:val="22"/>
        <w:szCs w:val="22"/>
        <w:u w:val="none" w:color="000000"/>
        <w:bdr w:val="none" w:sz="0" w:space="0" w:color="auto"/>
        <w:shd w:val="clear" w:color="auto" w:fill="auto"/>
        <w:vertAlign w:val="baseline"/>
      </w:rPr>
    </w:lvl>
    <w:lvl w:ilvl="1" w:tplc="56C65AF0">
      <w:start w:val="1"/>
      <w:numFmt w:val="lowerLetter"/>
      <w:lvlText w:val="%2"/>
      <w:lvlJc w:val="left"/>
      <w:pPr>
        <w:ind w:left="108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0DFA73F4">
      <w:start w:val="1"/>
      <w:numFmt w:val="lowerRoman"/>
      <w:lvlText w:val="%3"/>
      <w:lvlJc w:val="left"/>
      <w:pPr>
        <w:ind w:left="180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B4082C0C">
      <w:start w:val="1"/>
      <w:numFmt w:val="decimal"/>
      <w:lvlText w:val="%4"/>
      <w:lvlJc w:val="left"/>
      <w:pPr>
        <w:ind w:left="252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41582972">
      <w:start w:val="1"/>
      <w:numFmt w:val="lowerLetter"/>
      <w:lvlText w:val="%5"/>
      <w:lvlJc w:val="left"/>
      <w:pPr>
        <w:ind w:left="324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6A54A2DE">
      <w:start w:val="1"/>
      <w:numFmt w:val="lowerRoman"/>
      <w:lvlText w:val="%6"/>
      <w:lvlJc w:val="left"/>
      <w:pPr>
        <w:ind w:left="396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BC7C5246">
      <w:start w:val="1"/>
      <w:numFmt w:val="decimal"/>
      <w:lvlText w:val="%7"/>
      <w:lvlJc w:val="left"/>
      <w:pPr>
        <w:ind w:left="468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DEB8DFA2">
      <w:start w:val="1"/>
      <w:numFmt w:val="lowerLetter"/>
      <w:lvlText w:val="%8"/>
      <w:lvlJc w:val="left"/>
      <w:pPr>
        <w:ind w:left="540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DBB651A0">
      <w:start w:val="1"/>
      <w:numFmt w:val="lowerRoman"/>
      <w:lvlText w:val="%9"/>
      <w:lvlJc w:val="left"/>
      <w:pPr>
        <w:ind w:left="6120"/>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83B"/>
    <w:rsid w:val="0000483B"/>
    <w:rsid w:val="000C7484"/>
    <w:rsid w:val="00D7437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553C6F-4AAA-4925-B0EA-05A9BBAB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83B"/>
    <w:pPr>
      <w:spacing w:after="200" w:line="276" w:lineRule="auto"/>
    </w:pPr>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Iftikhar Ahmad Khan</dc:creator>
  <cp:keywords/>
  <dc:description/>
  <cp:lastModifiedBy>Iftikhar Ahmad Khan</cp:lastModifiedBy>
  <cp:revision>2</cp:revision>
  <dcterms:created xsi:type="dcterms:W3CDTF">2024-03-27T06:35:00Z</dcterms:created>
  <dcterms:modified xsi:type="dcterms:W3CDTF">2024-03-27T06:35:00Z</dcterms:modified>
</cp:coreProperties>
</file>